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CF" w:rsidRPr="008353EA" w:rsidRDefault="00EF05CF">
      <w:pPr>
        <w:rPr>
          <w:rFonts w:ascii="Times New Roman" w:hAnsi="Times New Roman" w:cs="Times New Roman"/>
          <w:sz w:val="24"/>
          <w:szCs w:val="24"/>
        </w:rPr>
      </w:pPr>
    </w:p>
    <w:p w:rsidR="00C223C7" w:rsidRPr="008353EA" w:rsidRDefault="00C223C7" w:rsidP="00C22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Sveučilište J. J. Strossmayera u Osijeku</w:t>
      </w:r>
    </w:p>
    <w:p w:rsidR="00C223C7" w:rsidRPr="008353EA" w:rsidRDefault="00C223C7" w:rsidP="00C22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Fakultet primijenjene matematike i informatike</w:t>
      </w:r>
    </w:p>
    <w:p w:rsidR="00C223C7" w:rsidRPr="008353EA" w:rsidRDefault="00C223C7" w:rsidP="00C22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OIB: 56597320763</w:t>
      </w:r>
    </w:p>
    <w:p w:rsidR="00C223C7" w:rsidRPr="008353EA" w:rsidRDefault="00C223C7" w:rsidP="00C22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RKP: 53919</w:t>
      </w:r>
    </w:p>
    <w:p w:rsidR="00C223C7" w:rsidRPr="008353EA" w:rsidRDefault="00C223C7" w:rsidP="00C22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OBRAZLOŽENJE POSEBNOG DIJELA IZVJEŠTAJA O IZVRŠENJU FINANCIJSKOG FINANCIJSKOG PLANA ZA 2023. GODINU</w:t>
      </w:r>
    </w:p>
    <w:p w:rsidR="00C223C7" w:rsidRPr="008353EA" w:rsidRDefault="00C223C7">
      <w:pPr>
        <w:rPr>
          <w:rFonts w:ascii="Times New Roman" w:hAnsi="Times New Roman" w:cs="Times New Roman"/>
          <w:sz w:val="24"/>
          <w:szCs w:val="24"/>
        </w:rPr>
      </w:pPr>
    </w:p>
    <w:p w:rsidR="00EF05CF" w:rsidRPr="008353EA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A472FA" w:rsidRPr="008353EA" w:rsidRDefault="00A472FA" w:rsidP="00C277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Fakulte</w:t>
      </w:r>
      <w:r w:rsidRPr="008353E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353EA">
        <w:rPr>
          <w:rFonts w:ascii="Times New Roman" w:hAnsi="Times New Roman" w:cs="Times New Roman"/>
          <w:sz w:val="24"/>
          <w:szCs w:val="24"/>
        </w:rPr>
        <w:t xml:space="preserve"> primijenjene matematike i informatike je visoko učilište i javna us</w:t>
      </w:r>
      <w:r w:rsidRPr="008353E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353EA">
        <w:rPr>
          <w:rFonts w:ascii="Times New Roman" w:hAnsi="Times New Roman" w:cs="Times New Roman"/>
          <w:sz w:val="24"/>
          <w:szCs w:val="24"/>
        </w:rPr>
        <w:t>ano</w:t>
      </w:r>
      <w:r w:rsidRPr="008353E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353EA">
        <w:rPr>
          <w:rFonts w:ascii="Times New Roman" w:hAnsi="Times New Roman" w:cs="Times New Roman"/>
          <w:sz w:val="24"/>
          <w:szCs w:val="24"/>
        </w:rPr>
        <w:t xml:space="preserve">a </w:t>
      </w:r>
      <w:r w:rsidR="00083437" w:rsidRPr="008353EA">
        <w:rPr>
          <w:rFonts w:ascii="Times New Roman" w:hAnsi="Times New Roman" w:cs="Times New Roman"/>
          <w:sz w:val="24"/>
          <w:szCs w:val="24"/>
        </w:rPr>
        <w:t>koja</w:t>
      </w:r>
      <w:r w:rsidRPr="008353EA">
        <w:rPr>
          <w:rFonts w:ascii="Times New Roman" w:hAnsi="Times New Roman" w:cs="Times New Roman"/>
          <w:sz w:val="24"/>
          <w:szCs w:val="24"/>
        </w:rPr>
        <w:t xml:space="preserve"> ima svojstvo pravne osobe s javnim ovlastima</w:t>
      </w:r>
      <w:r w:rsidR="002A16E3" w:rsidRPr="008353EA">
        <w:rPr>
          <w:rFonts w:ascii="Times New Roman" w:hAnsi="Times New Roman" w:cs="Times New Roman"/>
          <w:sz w:val="24"/>
          <w:szCs w:val="24"/>
        </w:rPr>
        <w:t xml:space="preserve"> te</w:t>
      </w:r>
      <w:r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="00D95738" w:rsidRPr="008353EA">
        <w:rPr>
          <w:rFonts w:ascii="Times New Roman" w:hAnsi="Times New Roman" w:cs="Times New Roman"/>
          <w:sz w:val="24"/>
          <w:szCs w:val="24"/>
        </w:rPr>
        <w:t xml:space="preserve">je </w:t>
      </w:r>
      <w:r w:rsidRPr="008353EA">
        <w:rPr>
          <w:rFonts w:ascii="Times New Roman" w:hAnsi="Times New Roman" w:cs="Times New Roman"/>
          <w:sz w:val="24"/>
          <w:szCs w:val="24"/>
        </w:rPr>
        <w:t>upisan</w:t>
      </w:r>
      <w:r w:rsidR="00D95738" w:rsidRPr="008353EA">
        <w:rPr>
          <w:rFonts w:ascii="Times New Roman" w:hAnsi="Times New Roman" w:cs="Times New Roman"/>
          <w:sz w:val="24"/>
          <w:szCs w:val="24"/>
        </w:rPr>
        <w:t>a</w:t>
      </w:r>
      <w:r w:rsidRPr="008353EA">
        <w:rPr>
          <w:rFonts w:ascii="Times New Roman" w:hAnsi="Times New Roman" w:cs="Times New Roman"/>
          <w:sz w:val="24"/>
          <w:szCs w:val="24"/>
        </w:rPr>
        <w:t xml:space="preserve"> u registar ustanova te u Upisnik visokih učilišta</w:t>
      </w:r>
      <w:r w:rsidR="00083437"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Pr="008353EA">
        <w:rPr>
          <w:rFonts w:ascii="Times New Roman" w:hAnsi="Times New Roman" w:cs="Times New Roman"/>
          <w:sz w:val="24"/>
          <w:szCs w:val="24"/>
        </w:rPr>
        <w:t>Ministarstv</w:t>
      </w:r>
      <w:r w:rsidR="00083437" w:rsidRPr="008353EA">
        <w:rPr>
          <w:rFonts w:ascii="Times New Roman" w:hAnsi="Times New Roman" w:cs="Times New Roman"/>
          <w:sz w:val="24"/>
          <w:szCs w:val="24"/>
        </w:rPr>
        <w:t>a</w:t>
      </w:r>
      <w:r w:rsidRPr="008353EA">
        <w:rPr>
          <w:rFonts w:ascii="Times New Roman" w:hAnsi="Times New Roman" w:cs="Times New Roman"/>
          <w:sz w:val="24"/>
          <w:szCs w:val="24"/>
        </w:rPr>
        <w:t xml:space="preserve"> znanosti i obrazovanja.</w:t>
      </w:r>
      <w:r w:rsidR="00C27763"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Pr="008353EA">
        <w:rPr>
          <w:rFonts w:ascii="Times New Roman" w:hAnsi="Times New Roman" w:cs="Times New Roman"/>
          <w:sz w:val="24"/>
          <w:szCs w:val="24"/>
        </w:rPr>
        <w:t xml:space="preserve">Fakultet primijenjene matematike </w:t>
      </w:r>
      <w:r w:rsidR="00D46DEF" w:rsidRPr="008353EA">
        <w:rPr>
          <w:rFonts w:ascii="Times New Roman" w:hAnsi="Times New Roman" w:cs="Times New Roman"/>
          <w:sz w:val="24"/>
          <w:szCs w:val="24"/>
        </w:rPr>
        <w:t xml:space="preserve">i informatike </w:t>
      </w:r>
      <w:r w:rsidRPr="008353EA">
        <w:rPr>
          <w:rFonts w:ascii="Times New Roman" w:hAnsi="Times New Roman" w:cs="Times New Roman"/>
          <w:sz w:val="24"/>
          <w:szCs w:val="24"/>
        </w:rPr>
        <w:t>je visoko učilište u sastavu Sveučilišta Josipa Jurja Strossmayera u Osijeku koj</w:t>
      </w:r>
      <w:r w:rsidR="00083437" w:rsidRPr="008353EA">
        <w:rPr>
          <w:rFonts w:ascii="Times New Roman" w:hAnsi="Times New Roman" w:cs="Times New Roman"/>
          <w:sz w:val="24"/>
          <w:szCs w:val="24"/>
        </w:rPr>
        <w:t>e</w:t>
      </w:r>
      <w:r w:rsidRPr="008353EA">
        <w:rPr>
          <w:rFonts w:ascii="Times New Roman" w:hAnsi="Times New Roman" w:cs="Times New Roman"/>
          <w:sz w:val="24"/>
          <w:szCs w:val="24"/>
        </w:rPr>
        <w:t xml:space="preserve"> obavlja djelatnost visokog obrazovanja, znanstvenu i stručnu djelatnost te ustrojava i izvodi sveučilišne </w:t>
      </w:r>
      <w:r w:rsidR="00BA7406" w:rsidRPr="008353EA">
        <w:rPr>
          <w:rFonts w:ascii="Times New Roman" w:hAnsi="Times New Roman" w:cs="Times New Roman"/>
          <w:sz w:val="24"/>
          <w:szCs w:val="24"/>
        </w:rPr>
        <w:t xml:space="preserve">studije </w:t>
      </w:r>
      <w:r w:rsidRPr="008353EA">
        <w:rPr>
          <w:rFonts w:ascii="Times New Roman" w:hAnsi="Times New Roman" w:cs="Times New Roman"/>
          <w:sz w:val="24"/>
          <w:szCs w:val="24"/>
        </w:rPr>
        <w:t xml:space="preserve">kao i znanstveni i stručni rad u jednom ili više znanstvenih polja.  </w:t>
      </w:r>
      <w:r w:rsidR="00BA7406" w:rsidRPr="008353EA">
        <w:rPr>
          <w:rFonts w:ascii="Times New Roman" w:hAnsi="Times New Roman" w:cs="Times New Roman"/>
          <w:sz w:val="24"/>
          <w:szCs w:val="24"/>
        </w:rPr>
        <w:t xml:space="preserve">Fakultet primijenjene matematike i informatike nastao je promjenom naziva i pravnog statusa </w:t>
      </w:r>
      <w:r w:rsidR="00936EB3" w:rsidRPr="008353EA">
        <w:rPr>
          <w:rFonts w:ascii="Times New Roman" w:hAnsi="Times New Roman" w:cs="Times New Roman"/>
          <w:sz w:val="24"/>
          <w:szCs w:val="24"/>
        </w:rPr>
        <w:t xml:space="preserve">sveučilišne podružnice </w:t>
      </w:r>
      <w:r w:rsidR="00BA7406" w:rsidRPr="008353EA">
        <w:rPr>
          <w:rFonts w:ascii="Times New Roman" w:hAnsi="Times New Roman" w:cs="Times New Roman"/>
          <w:sz w:val="24"/>
          <w:szCs w:val="24"/>
        </w:rPr>
        <w:t xml:space="preserve">Odjela za matematiku te s poslovanjem pod novim imenom </w:t>
      </w:r>
      <w:r w:rsidR="00936EB3" w:rsidRPr="008353EA">
        <w:rPr>
          <w:rFonts w:ascii="Times New Roman" w:hAnsi="Times New Roman" w:cs="Times New Roman"/>
          <w:sz w:val="24"/>
          <w:szCs w:val="24"/>
        </w:rPr>
        <w:t xml:space="preserve">i pravnim statusom </w:t>
      </w:r>
      <w:r w:rsidR="00BA7406" w:rsidRPr="008353EA">
        <w:rPr>
          <w:rFonts w:ascii="Times New Roman" w:hAnsi="Times New Roman" w:cs="Times New Roman"/>
          <w:sz w:val="24"/>
          <w:szCs w:val="24"/>
        </w:rPr>
        <w:t>započeo je s danom 1. srpnja 2023. godine</w:t>
      </w:r>
    </w:p>
    <w:p w:rsidR="00D46DEF" w:rsidRPr="008353EA" w:rsidRDefault="00D46DEF" w:rsidP="00A472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Studijski programi i studenti</w:t>
      </w:r>
    </w:p>
    <w:p w:rsidR="00A472FA" w:rsidRPr="008353EA" w:rsidRDefault="00A472FA" w:rsidP="00A472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 xml:space="preserve">Na prijediplomskoj razini izvode se dva studijska programa: (P1) Sveučilišni prijediplomski studij Matematike te (P2) Sveučilišni prijediplomski studija Matematika i računarstvo. Na diplomskoj razini izvode se dva studijska programa: (D1) Sveučilišni diplomski studij Matematika (s modulima Financijska matematika statistika te Matematika i računarstvo)  te (2) Sveučilišni diplomski studij Matematika i informatika; smjer nastavnički. </w:t>
      </w:r>
      <w:r w:rsidR="00D46DEF" w:rsidRPr="0083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EF" w:rsidRPr="008353EA" w:rsidRDefault="00D46DEF" w:rsidP="00A472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Tijekom zadnjih pet godina broj studenata Fakulteta primijenjene matematike i informatike (odnosno do 1. srpnja 202</w:t>
      </w:r>
      <w:r w:rsidR="00BA7406" w:rsidRPr="008353EA">
        <w:rPr>
          <w:rFonts w:ascii="Times New Roman" w:hAnsi="Times New Roman" w:cs="Times New Roman"/>
          <w:sz w:val="24"/>
          <w:szCs w:val="24"/>
        </w:rPr>
        <w:t>3</w:t>
      </w:r>
      <w:r w:rsidRPr="008353EA">
        <w:rPr>
          <w:rFonts w:ascii="Times New Roman" w:hAnsi="Times New Roman" w:cs="Times New Roman"/>
          <w:sz w:val="24"/>
          <w:szCs w:val="24"/>
        </w:rPr>
        <w:t>. Odjela za matematiku) kreće se između od 420 do 490.</w:t>
      </w:r>
    </w:p>
    <w:p w:rsidR="00D46DEF" w:rsidRPr="008353EA" w:rsidRDefault="00D46DEF" w:rsidP="00D46DEF">
      <w:pPr>
        <w:pStyle w:val="NormalWeb"/>
        <w:spacing w:before="0" w:beforeAutospacing="0" w:after="120" w:afterAutospacing="0"/>
        <w:jc w:val="both"/>
      </w:pPr>
      <w:r w:rsidRPr="008353EA">
        <w:rPr>
          <w:b/>
        </w:rPr>
        <w:t>Nastavnici</w:t>
      </w:r>
      <w:r w:rsidR="00BA7406" w:rsidRPr="008353EA">
        <w:rPr>
          <w:b/>
        </w:rPr>
        <w:t>,</w:t>
      </w:r>
      <w:r w:rsidRPr="008353EA">
        <w:rPr>
          <w:b/>
        </w:rPr>
        <w:t xml:space="preserve"> suradnici</w:t>
      </w:r>
      <w:r w:rsidR="00BA7406" w:rsidRPr="008353EA">
        <w:rPr>
          <w:b/>
        </w:rPr>
        <w:t xml:space="preserve"> i ostali zaposlenici</w:t>
      </w:r>
      <w:r w:rsidRPr="008353EA">
        <w:t xml:space="preserve">  </w:t>
      </w:r>
    </w:p>
    <w:p w:rsidR="00D46DEF" w:rsidRPr="008353EA" w:rsidRDefault="00D46DEF" w:rsidP="00D46DEF">
      <w:pPr>
        <w:pStyle w:val="NormalWeb"/>
        <w:spacing w:before="0" w:beforeAutospacing="0" w:after="120" w:afterAutospacing="0"/>
        <w:jc w:val="both"/>
      </w:pPr>
      <w:r w:rsidRPr="008353EA">
        <w:t xml:space="preserve">Fakultet primijenjene matematike i informatike </w:t>
      </w:r>
      <w:r w:rsidR="00083437" w:rsidRPr="008353EA">
        <w:t>ima ukupno 52 zaposlenika</w:t>
      </w:r>
      <w:r w:rsidR="00BA7406" w:rsidRPr="008353EA">
        <w:t xml:space="preserve"> i to </w:t>
      </w:r>
      <w:r w:rsidRPr="008353EA">
        <w:t xml:space="preserve">4 redovita profesora u trajnom izboru (od čega je 1 s 50 % radnog vremena na Fakultetu primijenjene matematike i informatike), 3 redovita profesora, 11 izvanrednih profesora, 6 docenata, 8 viših te 4 asistenta. Dodatno u znanstvenoistraživačkim aktivnostima i dijelovima nastave također aktivno sudjeluje i 1 professor emeritus. </w:t>
      </w:r>
      <w:r w:rsidR="001B0F68" w:rsidRPr="008353EA">
        <w:t xml:space="preserve">Nastavna opterećenost nastavnika i suradnika </w:t>
      </w:r>
      <w:r w:rsidR="00083437" w:rsidRPr="008353EA">
        <w:t xml:space="preserve">dulji se niz godina </w:t>
      </w:r>
      <w:r w:rsidR="001B0F68" w:rsidRPr="008353EA">
        <w:t xml:space="preserve">nalazi na gornjoj granici te je u tom smislu potrebno </w:t>
      </w:r>
      <w:r w:rsidR="00BA7406" w:rsidRPr="008353EA">
        <w:t xml:space="preserve">sustavno </w:t>
      </w:r>
      <w:r w:rsidR="001B0F68" w:rsidRPr="008353EA">
        <w:t>osigura</w:t>
      </w:r>
      <w:r w:rsidR="00BA7406" w:rsidRPr="008353EA">
        <w:t>va</w:t>
      </w:r>
      <w:r w:rsidR="001B0F68" w:rsidRPr="008353EA">
        <w:t>ti sredstva za nov</w:t>
      </w:r>
      <w:r w:rsidR="00BA7406" w:rsidRPr="008353EA">
        <w:t>a</w:t>
      </w:r>
      <w:r w:rsidR="001B0F68" w:rsidRPr="008353EA">
        <w:t xml:space="preserve"> razvojn</w:t>
      </w:r>
      <w:r w:rsidR="00BA7406" w:rsidRPr="008353EA">
        <w:t>a</w:t>
      </w:r>
      <w:r w:rsidR="001B0F68" w:rsidRPr="008353EA">
        <w:t xml:space="preserve"> radn</w:t>
      </w:r>
      <w:r w:rsidR="00BA7406" w:rsidRPr="008353EA">
        <w:t>a</w:t>
      </w:r>
      <w:r w:rsidR="001B0F68" w:rsidRPr="008353EA">
        <w:t xml:space="preserve"> mjesta asisten</w:t>
      </w:r>
      <w:r w:rsidR="00BA7406" w:rsidRPr="008353EA">
        <w:t>a</w:t>
      </w:r>
      <w:r w:rsidR="001B0F68" w:rsidRPr="008353EA">
        <w:t>ta</w:t>
      </w:r>
      <w:r w:rsidR="00BA7406" w:rsidRPr="008353EA">
        <w:t>.</w:t>
      </w:r>
      <w:r w:rsidR="001B0F68" w:rsidRPr="008353EA">
        <w:t xml:space="preserve">     </w:t>
      </w:r>
    </w:p>
    <w:p w:rsidR="00D46DEF" w:rsidRPr="008353EA" w:rsidRDefault="00D46DEF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Znanstvena djelatnost</w:t>
      </w:r>
    </w:p>
    <w:p w:rsidR="00D46DEF" w:rsidRPr="008353EA" w:rsidRDefault="00D46DEF" w:rsidP="00D46DEF">
      <w:pPr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Znanstvenoistraživački rad na Fakultetu primijenjene matematike i informatike (odnosno do 1. srpnja 202</w:t>
      </w:r>
      <w:r w:rsidR="00855500" w:rsidRPr="008353EA">
        <w:rPr>
          <w:rFonts w:ascii="Times New Roman" w:hAnsi="Times New Roman" w:cs="Times New Roman"/>
          <w:sz w:val="24"/>
          <w:szCs w:val="24"/>
        </w:rPr>
        <w:t>3</w:t>
      </w:r>
      <w:r w:rsidRPr="008353EA">
        <w:rPr>
          <w:rFonts w:ascii="Times New Roman" w:hAnsi="Times New Roman" w:cs="Times New Roman"/>
          <w:sz w:val="24"/>
          <w:szCs w:val="24"/>
        </w:rPr>
        <w:t>. Odjela za matematiku) tijekom zadnjih pet godina sastoji se od rada na sljedećim temama:</w:t>
      </w:r>
    </w:p>
    <w:p w:rsidR="00D46DEF" w:rsidRPr="008353EA" w:rsidRDefault="00D46DEF" w:rsidP="00D46DEF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1.</w:t>
      </w:r>
      <w:r w:rsidRPr="008353EA">
        <w:rPr>
          <w:rFonts w:ascii="Times New Roman" w:hAnsi="Times New Roman" w:cs="Times New Roman"/>
          <w:sz w:val="24"/>
          <w:szCs w:val="24"/>
        </w:rPr>
        <w:t xml:space="preserve"> Primijenjena numerička linearna algebra. Analiza i primjena strukturiranih svojstvenih problema. Teorija upravljanja, efikasna optimizacija prigušenja titrajnih </w:t>
      </w:r>
      <w:r w:rsidRPr="008353EA">
        <w:rPr>
          <w:rFonts w:ascii="Times New Roman" w:hAnsi="Times New Roman" w:cs="Times New Roman"/>
          <w:sz w:val="24"/>
          <w:szCs w:val="24"/>
        </w:rPr>
        <w:lastRenderedPageBreak/>
        <w:t>sustava primjenom kriterija koji su bazirani na energiji sustava. Optimalni dizajn, homogenizacija, Fridriechsovi sustavi i opća teorija parcijalnih diferencijalnih jednadžbi.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2.</w:t>
      </w:r>
      <w:r w:rsidRPr="008353EA">
        <w:rPr>
          <w:rFonts w:ascii="Times New Roman" w:hAnsi="Times New Roman" w:cs="Times New Roman"/>
          <w:sz w:val="24"/>
          <w:szCs w:val="24"/>
        </w:rPr>
        <w:t xml:space="preserve">  Teorijski aspekti i primjene globalne optimizacije. Klaster analiza temeljena na metodama globalne optimizacije. 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3.</w:t>
      </w:r>
      <w:r w:rsidRPr="008353EA">
        <w:rPr>
          <w:rFonts w:ascii="Times New Roman" w:hAnsi="Times New Roman" w:cs="Times New Roman"/>
          <w:sz w:val="24"/>
          <w:szCs w:val="24"/>
        </w:rPr>
        <w:t xml:space="preserve"> Procjena parametara u statističkim modelima, statistička analiza stohastičkih procesa, analiza asimptotskih svojstava procjenitelja, istraživanje stohastičkih procesa s različitim strukturama zavisnosti, primjena statistike. Specijalne funkcije.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4.</w:t>
      </w:r>
      <w:r w:rsidRPr="008353EA">
        <w:rPr>
          <w:rFonts w:ascii="Times New Roman" w:hAnsi="Times New Roman" w:cs="Times New Roman"/>
          <w:sz w:val="24"/>
          <w:szCs w:val="24"/>
        </w:rPr>
        <w:t xml:space="preserve"> Reprezentacije reduktivnih </w:t>
      </w:r>
      <w:r w:rsidRPr="008353EA">
        <w:rPr>
          <w:rFonts w:ascii="Times New Roman" w:hAnsi="Times New Roman" w:cs="Times New Roman"/>
          <w:i/>
          <w:sz w:val="24"/>
          <w:szCs w:val="24"/>
        </w:rPr>
        <w:t>p-</w:t>
      </w:r>
      <w:r w:rsidRPr="008353EA">
        <w:rPr>
          <w:rFonts w:ascii="Times New Roman" w:hAnsi="Times New Roman" w:cs="Times New Roman"/>
          <w:sz w:val="24"/>
          <w:szCs w:val="24"/>
        </w:rPr>
        <w:t>adskih grupa, Langlandsov program. Diofantske jednadžbe i eliptičke krivulje.  Analiza generaliziranih nejednakosti.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5.</w:t>
      </w:r>
      <w:r w:rsidRPr="008353EA">
        <w:rPr>
          <w:rFonts w:ascii="Times New Roman" w:hAnsi="Times New Roman" w:cs="Times New Roman"/>
          <w:sz w:val="24"/>
          <w:szCs w:val="24"/>
        </w:rPr>
        <w:t xml:space="preserve"> Algoritmi na grafovima, teorija grafova i kompleksne mreže. Kombinatorna optimizacija, strojno učenje te matematički modeli i algoritamske tehnike u bioinformatici i računalnoj lingvistici.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6.</w:t>
      </w:r>
      <w:r w:rsidRPr="008353EA">
        <w:rPr>
          <w:rFonts w:ascii="Times New Roman" w:hAnsi="Times New Roman" w:cs="Times New Roman"/>
          <w:sz w:val="24"/>
          <w:szCs w:val="24"/>
        </w:rPr>
        <w:t xml:space="preserve"> Medijalne kvazigrupe i njihove primjene, prvenstveno u geometriji, te  druge klase neasocijativnih algebarskih struktura. Geometrija  izotropne ravnine. Geometrija svjetlosnih krivulja i ploha u  3-dimenzionalnom Minkowskijevom prostoru.</w:t>
      </w:r>
    </w:p>
    <w:p w:rsidR="00D46DEF" w:rsidRPr="008353EA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Tema 7.</w:t>
      </w:r>
      <w:r w:rsidRPr="008353EA">
        <w:rPr>
          <w:rFonts w:ascii="Times New Roman" w:hAnsi="Times New Roman" w:cs="Times New Roman"/>
          <w:sz w:val="24"/>
          <w:szCs w:val="24"/>
        </w:rPr>
        <w:t xml:space="preserve"> Uloga obrazovnih materijala u nastavi matematike, poučavanje i učenje matematike u školi, uvođenje nastavnika početnika u poučavanje matematike,  matematički pojmovi u osnovnoj i srednjoj školi.</w:t>
      </w:r>
    </w:p>
    <w:p w:rsidR="00D46DEF" w:rsidRPr="008353EA" w:rsidRDefault="00D46DEF" w:rsidP="00D46DE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DEF" w:rsidRPr="008353EA" w:rsidRDefault="00D46DEF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eastAsia="Cambria" w:hAnsi="Times New Roman" w:cs="Times New Roman"/>
          <w:sz w:val="24"/>
          <w:szCs w:val="24"/>
        </w:rPr>
        <w:t>Na osnovi podataka iz baze Web of Science Core Collection (WoS CC) od 2017. do 202</w:t>
      </w:r>
      <w:r w:rsidR="00BA7406" w:rsidRPr="008353EA">
        <w:rPr>
          <w:rFonts w:ascii="Times New Roman" w:eastAsia="Cambria" w:hAnsi="Times New Roman" w:cs="Times New Roman"/>
          <w:sz w:val="24"/>
          <w:szCs w:val="24"/>
        </w:rPr>
        <w:t>3</w:t>
      </w:r>
      <w:r w:rsidRPr="008353EA">
        <w:rPr>
          <w:rFonts w:ascii="Times New Roman" w:eastAsia="Cambria" w:hAnsi="Times New Roman" w:cs="Times New Roman"/>
          <w:sz w:val="24"/>
          <w:szCs w:val="24"/>
        </w:rPr>
        <w:t xml:space="preserve">. godine provedena je analiza iz koje je vidljivo da je Fakultet u znanstvenoistraživačkom smislu velikim dijelom orijentiran prema primijenjenoj matematici.  </w:t>
      </w:r>
    </w:p>
    <w:p w:rsidR="00D46DEF" w:rsidRPr="008353EA" w:rsidRDefault="00D46DEF" w:rsidP="00A472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 xml:space="preserve">Doktorski studij </w:t>
      </w:r>
    </w:p>
    <w:p w:rsidR="00D46DEF" w:rsidRPr="008353EA" w:rsidRDefault="00A472FA" w:rsidP="00A472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 xml:space="preserve">Fakultet </w:t>
      </w:r>
      <w:r w:rsidR="00D46DEF" w:rsidRPr="008353EA">
        <w:rPr>
          <w:rFonts w:ascii="Times New Roman" w:hAnsi="Times New Roman" w:cs="Times New Roman"/>
          <w:sz w:val="24"/>
          <w:szCs w:val="24"/>
        </w:rPr>
        <w:t xml:space="preserve">primijenjene matematike i informatike  </w:t>
      </w:r>
      <w:r w:rsidRPr="008353EA">
        <w:rPr>
          <w:rFonts w:ascii="Times New Roman" w:hAnsi="Times New Roman" w:cs="Times New Roman"/>
          <w:sz w:val="24"/>
          <w:szCs w:val="24"/>
        </w:rPr>
        <w:t>sudjeluje u izv</w:t>
      </w:r>
      <w:r w:rsidR="00D46DEF" w:rsidRPr="008353EA">
        <w:rPr>
          <w:rFonts w:ascii="Times New Roman" w:hAnsi="Times New Roman" w:cs="Times New Roman"/>
          <w:sz w:val="24"/>
          <w:szCs w:val="24"/>
        </w:rPr>
        <w:t>edbi</w:t>
      </w:r>
      <w:r w:rsidRPr="008353EA">
        <w:rPr>
          <w:rFonts w:ascii="Times New Roman" w:hAnsi="Times New Roman" w:cs="Times New Roman"/>
          <w:sz w:val="24"/>
          <w:szCs w:val="24"/>
        </w:rPr>
        <w:t xml:space="preserve"> Združenog sveučilišnog poslijediplomskog doktorskog studija Matematika Sveučilišta u Osijeku, Spli</w:t>
      </w:r>
      <w:r w:rsidR="00D46DEF" w:rsidRPr="008353EA">
        <w:rPr>
          <w:rFonts w:ascii="Times New Roman" w:hAnsi="Times New Roman" w:cs="Times New Roman"/>
          <w:sz w:val="24"/>
          <w:szCs w:val="24"/>
        </w:rPr>
        <w:t>tu, Rijeci i Osijeku.</w:t>
      </w:r>
    </w:p>
    <w:p w:rsidR="00D46DEF" w:rsidRPr="008353EA" w:rsidRDefault="00D46DEF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Programi cjeloživotnog učenja</w:t>
      </w:r>
    </w:p>
    <w:p w:rsidR="00D46DEF" w:rsidRDefault="00D46DEF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Fakultet primijenjene matematike i informatike izvodi dva programa cjeloživotno učenja</w:t>
      </w:r>
      <w:r w:rsidR="008E2C16" w:rsidRPr="008353EA">
        <w:rPr>
          <w:rFonts w:ascii="Times New Roman" w:hAnsi="Times New Roman" w:cs="Times New Roman"/>
          <w:sz w:val="24"/>
          <w:szCs w:val="24"/>
        </w:rPr>
        <w:t>:</w:t>
      </w:r>
      <w:r w:rsidRPr="008353EA">
        <w:rPr>
          <w:rFonts w:ascii="Times New Roman" w:hAnsi="Times New Roman" w:cs="Times New Roman"/>
          <w:sz w:val="24"/>
          <w:szCs w:val="24"/>
        </w:rPr>
        <w:t xml:space="preserve"> Primijenjena statistika</w:t>
      </w:r>
      <w:r w:rsidR="00855500" w:rsidRPr="008353EA">
        <w:rPr>
          <w:rFonts w:ascii="Times New Roman" w:hAnsi="Times New Roman" w:cs="Times New Roman"/>
          <w:sz w:val="24"/>
          <w:szCs w:val="24"/>
        </w:rPr>
        <w:t xml:space="preserve"> i </w:t>
      </w:r>
      <w:r w:rsidRPr="008353EA">
        <w:rPr>
          <w:rFonts w:ascii="Times New Roman" w:hAnsi="Times New Roman" w:cs="Times New Roman"/>
          <w:sz w:val="24"/>
          <w:szCs w:val="24"/>
        </w:rPr>
        <w:t xml:space="preserve"> Matematika u financijskim transakcijama</w:t>
      </w:r>
      <w:r w:rsidR="001B0F68" w:rsidRPr="008353EA">
        <w:rPr>
          <w:rFonts w:ascii="Times New Roman" w:hAnsi="Times New Roman" w:cs="Times New Roman"/>
          <w:sz w:val="24"/>
          <w:szCs w:val="24"/>
        </w:rPr>
        <w:t>.</w:t>
      </w:r>
    </w:p>
    <w:p w:rsidR="009735C7" w:rsidRDefault="009735C7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5C7" w:rsidRPr="009735C7" w:rsidRDefault="009735C7" w:rsidP="009735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C7">
        <w:rPr>
          <w:rFonts w:ascii="Times New Roman" w:hAnsi="Times New Roman" w:cs="Times New Roman"/>
          <w:b/>
          <w:sz w:val="24"/>
          <w:szCs w:val="24"/>
        </w:rPr>
        <w:t>Fakultet primijenjene matematike i informatike nastao promjenom naziva i pravnog statusa sveučilišne podružnice Odjela za matematiku te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9735C7">
        <w:rPr>
          <w:rFonts w:ascii="Times New Roman" w:hAnsi="Times New Roman" w:cs="Times New Roman"/>
          <w:b/>
          <w:sz w:val="24"/>
          <w:szCs w:val="24"/>
        </w:rPr>
        <w:t xml:space="preserve"> s poslovanjem pod novim nazivom i pravnim statusom započeo s danom 1. srpnja 202</w:t>
      </w:r>
      <w:r w:rsidRPr="00973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735C7">
        <w:rPr>
          <w:rFonts w:ascii="Times New Roman" w:hAnsi="Times New Roman" w:cs="Times New Roman"/>
          <w:b/>
          <w:sz w:val="24"/>
          <w:szCs w:val="24"/>
        </w:rPr>
        <w:t xml:space="preserve"> godine. Posljedično svi su planovi za 2023. godinu podijeljeni u dva dijela: dio koji se odnosi na Odjel za matematiku te dio koji se odnosi na Fakultet primijenjene matematike i informatike. U nastavku su prikazani samo oni dijelovi koji se odnose na Fakultet primijenjene matematike i informatike. Dio koji se odnosi na Odjel za matematiku sadržan je u Obrazloženju posebnog dijela izvještaja o izvršenju financijskog plana za 2023. godinu Rektorata Sveučilišta. </w:t>
      </w:r>
    </w:p>
    <w:p w:rsidR="009735C7" w:rsidRDefault="009735C7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53EA" w:rsidRPr="008353EA" w:rsidRDefault="008353EA" w:rsidP="00D46DE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3AFD" w:rsidRPr="008353EA" w:rsidRDefault="00D03AFD" w:rsidP="0032227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lastRenderedPageBreak/>
        <w:t>A621003 Redovna djelatnost Sveučilišta u Osijeku</w:t>
      </w: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1936"/>
        <w:gridCol w:w="2121"/>
        <w:gridCol w:w="1626"/>
        <w:gridCol w:w="21"/>
        <w:gridCol w:w="1790"/>
        <w:gridCol w:w="21"/>
        <w:gridCol w:w="1583"/>
        <w:gridCol w:w="21"/>
      </w:tblGrid>
      <w:tr w:rsidR="00322271" w:rsidRPr="008353EA" w:rsidTr="00322271">
        <w:trPr>
          <w:gridAfter w:val="1"/>
          <w:wAfter w:w="21" w:type="dxa"/>
          <w:trHeight w:val="554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827496"/>
          </w:p>
          <w:p w:rsidR="00322271" w:rsidRPr="008353EA" w:rsidRDefault="00322271" w:rsidP="0008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811" w:type="dxa"/>
            <w:gridSpan w:val="2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604" w:type="dxa"/>
            <w:gridSpan w:val="2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Indeks  3/2*100</w:t>
            </w:r>
          </w:p>
        </w:tc>
      </w:tr>
      <w:tr w:rsidR="00322271" w:rsidRPr="008353EA" w:rsidTr="00322271">
        <w:trPr>
          <w:gridAfter w:val="1"/>
          <w:wAfter w:w="21" w:type="dxa"/>
          <w:trHeight w:val="554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08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32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:rsidR="00322271" w:rsidRPr="008353EA" w:rsidRDefault="00322271" w:rsidP="0032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gridSpan w:val="2"/>
            <w:shd w:val="clear" w:color="auto" w:fill="D0CECE" w:themeFill="background2" w:themeFillShade="E6"/>
            <w:vAlign w:val="center"/>
          </w:tcPr>
          <w:p w:rsidR="00322271" w:rsidRPr="008353EA" w:rsidRDefault="00322271" w:rsidP="0032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4" w:type="dxa"/>
            <w:gridSpan w:val="2"/>
            <w:shd w:val="clear" w:color="auto" w:fill="D0CECE" w:themeFill="background2" w:themeFillShade="E6"/>
            <w:vAlign w:val="center"/>
          </w:tcPr>
          <w:p w:rsidR="00322271" w:rsidRPr="008353EA" w:rsidRDefault="00322271" w:rsidP="0032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bookmarkEnd w:id="0"/>
      <w:tr w:rsidR="00322271" w:rsidRPr="008353EA" w:rsidTr="00322271">
        <w:trPr>
          <w:trHeight w:val="1410"/>
        </w:trPr>
        <w:tc>
          <w:tcPr>
            <w:tcW w:w="1936" w:type="dxa"/>
            <w:vAlign w:val="center"/>
          </w:tcPr>
          <w:p w:rsidR="00322271" w:rsidRPr="008353EA" w:rsidRDefault="00322271" w:rsidP="007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A621003</w:t>
            </w:r>
          </w:p>
          <w:p w:rsidR="00322271" w:rsidRPr="008353EA" w:rsidRDefault="00322271" w:rsidP="007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Redovna djelatnost Sveučilišta u Osijeku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593.423</w:t>
            </w:r>
          </w:p>
        </w:tc>
        <w:tc>
          <w:tcPr>
            <w:tcW w:w="1811" w:type="dxa"/>
            <w:gridSpan w:val="2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696.213,41</w:t>
            </w:r>
          </w:p>
        </w:tc>
        <w:tc>
          <w:tcPr>
            <w:tcW w:w="1604" w:type="dxa"/>
            <w:gridSpan w:val="2"/>
            <w:vAlign w:val="center"/>
          </w:tcPr>
          <w:p w:rsidR="00322271" w:rsidRPr="008353EA" w:rsidRDefault="00322271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E179DA" w:rsidRPr="008353EA" w:rsidRDefault="00E179DA" w:rsidP="00E179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Ova aktivnost/ projekt sastoji se od sljedećih elemenata/ podaktivnosti:</w:t>
      </w:r>
    </w:p>
    <w:p w:rsidR="00E179DA" w:rsidRPr="008353EA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Financiranja rashoda za plaće</w:t>
      </w:r>
    </w:p>
    <w:p w:rsidR="00E179DA" w:rsidRPr="008353EA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Financiranja materijalnih prava zaposlenih</w:t>
      </w:r>
    </w:p>
    <w:p w:rsidR="00E63E32" w:rsidRPr="008353EA" w:rsidRDefault="00322271" w:rsidP="0032227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Rashodi za zaposlene izvršeni su u iznosu 654.655,24 eura, dok materijalna prava zaposlenih uključujući i naknadu za prijevoz) iznose 35.257,17. Unutar ove aktivnosti podmirili su se i troškovi za sistematske preglede u iznosu 6.301,00 eur.</w:t>
      </w:r>
    </w:p>
    <w:p w:rsidR="00C223C7" w:rsidRPr="008353EA" w:rsidRDefault="00C223C7" w:rsidP="0032227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9" w:rsidRPr="008353EA" w:rsidRDefault="00C81139" w:rsidP="0032227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 xml:space="preserve">A622122 Programsko financiranje javnih visokih učilišta 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031"/>
        <w:gridCol w:w="1706"/>
        <w:gridCol w:w="21"/>
        <w:gridCol w:w="1706"/>
        <w:gridCol w:w="1899"/>
        <w:gridCol w:w="1682"/>
      </w:tblGrid>
      <w:tr w:rsidR="00C223C7" w:rsidRPr="008353EA" w:rsidTr="00C223C7">
        <w:trPr>
          <w:trHeight w:val="536"/>
        </w:trPr>
        <w:tc>
          <w:tcPr>
            <w:tcW w:w="2031" w:type="dxa"/>
            <w:shd w:val="clear" w:color="auto" w:fill="D0CECE" w:themeFill="background2" w:themeFillShade="E6"/>
            <w:vAlign w:val="center"/>
          </w:tcPr>
          <w:p w:rsidR="00C223C7" w:rsidRPr="008353EA" w:rsidRDefault="00C223C7" w:rsidP="00C2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C7" w:rsidRPr="008353EA" w:rsidRDefault="00C223C7" w:rsidP="00C2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D0CECE" w:themeFill="background2" w:themeFillShade="E6"/>
            <w:vAlign w:val="center"/>
          </w:tcPr>
          <w:p w:rsidR="00C223C7" w:rsidRPr="008353EA" w:rsidRDefault="00C223C7" w:rsidP="00C2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706" w:type="dxa"/>
            <w:shd w:val="clear" w:color="auto" w:fill="D0CECE" w:themeFill="background2" w:themeFillShade="E6"/>
            <w:vAlign w:val="center"/>
          </w:tcPr>
          <w:p w:rsidR="00C223C7" w:rsidRPr="008353EA" w:rsidRDefault="00C223C7" w:rsidP="00C2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899" w:type="dxa"/>
            <w:shd w:val="clear" w:color="auto" w:fill="D0CECE" w:themeFill="background2" w:themeFillShade="E6"/>
            <w:vAlign w:val="center"/>
          </w:tcPr>
          <w:p w:rsidR="00C223C7" w:rsidRPr="008353EA" w:rsidRDefault="00C223C7" w:rsidP="00C2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:rsidR="00C223C7" w:rsidRPr="008353EA" w:rsidRDefault="00C223C7" w:rsidP="00C2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Indeks  3/2*100</w:t>
            </w:r>
          </w:p>
        </w:tc>
      </w:tr>
      <w:tr w:rsidR="00C223C7" w:rsidRPr="008353EA" w:rsidTr="00C223C7">
        <w:trPr>
          <w:trHeight w:val="1365"/>
        </w:trPr>
        <w:tc>
          <w:tcPr>
            <w:tcW w:w="2031" w:type="dxa"/>
            <w:vAlign w:val="center"/>
          </w:tcPr>
          <w:p w:rsidR="00C223C7" w:rsidRPr="008353EA" w:rsidRDefault="00C223C7" w:rsidP="00D7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  <w:p w:rsidR="00C223C7" w:rsidRPr="008353EA" w:rsidRDefault="00C223C7" w:rsidP="00D7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 xml:space="preserve">Programsko financiranje javnih visokih učilišta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23C7" w:rsidRPr="008353EA" w:rsidRDefault="00C223C7" w:rsidP="00D7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C223C7" w:rsidRPr="008353EA" w:rsidRDefault="008353EA" w:rsidP="00D7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103.738</w:t>
            </w:r>
          </w:p>
        </w:tc>
        <w:tc>
          <w:tcPr>
            <w:tcW w:w="1899" w:type="dxa"/>
            <w:vAlign w:val="center"/>
          </w:tcPr>
          <w:p w:rsidR="00C223C7" w:rsidRPr="008353EA" w:rsidRDefault="008353EA" w:rsidP="00D7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84.052,01</w:t>
            </w:r>
          </w:p>
        </w:tc>
        <w:tc>
          <w:tcPr>
            <w:tcW w:w="1682" w:type="dxa"/>
            <w:vAlign w:val="center"/>
          </w:tcPr>
          <w:p w:rsidR="00C223C7" w:rsidRPr="008353EA" w:rsidRDefault="008353EA" w:rsidP="00D7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20364E" w:rsidRPr="008353EA" w:rsidRDefault="0020364E" w:rsidP="0020364E">
      <w:pPr>
        <w:pStyle w:val="NormalWeb"/>
        <w:spacing w:before="0" w:beforeAutospacing="0" w:after="0" w:afterAutospacing="0" w:line="276" w:lineRule="auto"/>
        <w:jc w:val="both"/>
      </w:pPr>
    </w:p>
    <w:p w:rsidR="003E48A0" w:rsidRPr="008353EA" w:rsidRDefault="003E48A0" w:rsidP="0020364E">
      <w:pPr>
        <w:pStyle w:val="NormalWeb"/>
        <w:spacing w:before="0" w:beforeAutospacing="0" w:after="0" w:afterAutospacing="0" w:line="276" w:lineRule="auto"/>
        <w:jc w:val="both"/>
      </w:pPr>
      <w:r w:rsidRPr="008353EA">
        <w:t xml:space="preserve">Strateški ciljevi </w:t>
      </w:r>
      <w:r w:rsidR="0020364E" w:rsidRPr="008353EA">
        <w:t xml:space="preserve">propisani </w:t>
      </w:r>
      <w:r w:rsidRPr="008353EA">
        <w:t>Uredbom</w:t>
      </w:r>
      <w:r w:rsidR="0020364E" w:rsidRPr="008353EA">
        <w:t xml:space="preserve"> o programskom financiranju javnih visokih učilišta i javnih znanstvenih instituta u Republici Hrvatskoj </w:t>
      </w:r>
      <w:r w:rsidRPr="008353EA">
        <w:t xml:space="preserve">u sklopu </w:t>
      </w:r>
      <w:r w:rsidR="00936EB3" w:rsidRPr="008353EA">
        <w:t xml:space="preserve">budućeg </w:t>
      </w:r>
      <w:r w:rsidRPr="008353EA">
        <w:t>ugovorenog programskog razdoblja su:</w:t>
      </w:r>
      <w:r w:rsidR="0020364E" w:rsidRPr="008353EA">
        <w:t xml:space="preserve"> </w:t>
      </w:r>
    </w:p>
    <w:p w:rsidR="003E48A0" w:rsidRPr="008353EA" w:rsidRDefault="003E48A0" w:rsidP="0020364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podizanje znanstvene izvrsnosti</w:t>
      </w:r>
      <w:r w:rsidR="0020364E" w:rsidRPr="008353EA">
        <w:rPr>
          <w:rFonts w:ascii="Times New Roman" w:hAnsi="Times New Roman" w:cs="Times New Roman"/>
          <w:sz w:val="24"/>
          <w:szCs w:val="24"/>
        </w:rPr>
        <w:t>;</w:t>
      </w:r>
    </w:p>
    <w:p w:rsidR="003E48A0" w:rsidRPr="008353EA" w:rsidRDefault="003E48A0" w:rsidP="003E48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jačanje suradnje s gospodarstvom te razvoj nacionalnog i regionalnog identiteta i kulture</w:t>
      </w:r>
      <w:r w:rsidR="0020364E" w:rsidRPr="008353EA">
        <w:rPr>
          <w:rFonts w:ascii="Times New Roman" w:hAnsi="Times New Roman" w:cs="Times New Roman"/>
          <w:sz w:val="24"/>
          <w:szCs w:val="24"/>
        </w:rPr>
        <w:t>;</w:t>
      </w:r>
    </w:p>
    <w:p w:rsidR="003E48A0" w:rsidRPr="008353EA" w:rsidRDefault="003E48A0" w:rsidP="003E48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povećanje relevantnosti, kvalitete i učinkovitosti studiranja</w:t>
      </w:r>
      <w:r w:rsidR="0020364E" w:rsidRPr="008353EA">
        <w:rPr>
          <w:rFonts w:ascii="Times New Roman" w:hAnsi="Times New Roman" w:cs="Times New Roman"/>
          <w:sz w:val="24"/>
          <w:szCs w:val="24"/>
        </w:rPr>
        <w:t>;</w:t>
      </w:r>
    </w:p>
    <w:p w:rsidR="003E48A0" w:rsidRPr="008353EA" w:rsidRDefault="003E48A0" w:rsidP="003E48A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>jačanje društvene odgovornosti.</w:t>
      </w:r>
    </w:p>
    <w:p w:rsidR="00946F3D" w:rsidRDefault="00C81139" w:rsidP="009017B5">
      <w:pPr>
        <w:jc w:val="both"/>
        <w:rPr>
          <w:rFonts w:ascii="Times New Roman" w:hAnsi="Times New Roman" w:cs="Times New Roman"/>
          <w:sz w:val="24"/>
          <w:szCs w:val="24"/>
        </w:rPr>
      </w:pPr>
      <w:r w:rsidRPr="008353EA">
        <w:rPr>
          <w:rFonts w:ascii="Times New Roman" w:hAnsi="Times New Roman" w:cs="Times New Roman"/>
          <w:sz w:val="24"/>
          <w:szCs w:val="24"/>
        </w:rPr>
        <w:t xml:space="preserve">Sredstva programskog financiranja </w:t>
      </w:r>
      <w:r w:rsidR="00946F3D">
        <w:rPr>
          <w:rFonts w:ascii="Times New Roman" w:hAnsi="Times New Roman" w:cs="Times New Roman"/>
          <w:sz w:val="24"/>
          <w:szCs w:val="24"/>
        </w:rPr>
        <w:t>planirana su u iznosu 103.738</w:t>
      </w:r>
      <w:r w:rsidR="0020364E"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Pr="008353EA">
        <w:rPr>
          <w:rFonts w:ascii="Times New Roman" w:hAnsi="Times New Roman" w:cs="Times New Roman"/>
          <w:sz w:val="24"/>
          <w:szCs w:val="24"/>
        </w:rPr>
        <w:t>eura</w:t>
      </w:r>
      <w:r w:rsidR="0019737A" w:rsidRPr="008353EA">
        <w:rPr>
          <w:rFonts w:ascii="Times New Roman" w:hAnsi="Times New Roman" w:cs="Times New Roman"/>
          <w:sz w:val="24"/>
          <w:szCs w:val="24"/>
        </w:rPr>
        <w:t>.</w:t>
      </w:r>
      <w:r w:rsidR="0020364E"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Pr="008353EA">
        <w:rPr>
          <w:rFonts w:ascii="Times New Roman" w:hAnsi="Times New Roman" w:cs="Times New Roman"/>
          <w:sz w:val="24"/>
          <w:szCs w:val="24"/>
        </w:rPr>
        <w:t xml:space="preserve">Navedene iznos Fakultet </w:t>
      </w:r>
      <w:r w:rsidR="0020364E" w:rsidRPr="008353EA">
        <w:rPr>
          <w:rFonts w:ascii="Times New Roman" w:hAnsi="Times New Roman" w:cs="Times New Roman"/>
          <w:sz w:val="24"/>
          <w:szCs w:val="24"/>
        </w:rPr>
        <w:t xml:space="preserve">primijenjene matematike </w:t>
      </w:r>
      <w:r w:rsidR="00BA7406" w:rsidRPr="008353EA">
        <w:rPr>
          <w:rFonts w:ascii="Times New Roman" w:hAnsi="Times New Roman" w:cs="Times New Roman"/>
          <w:sz w:val="24"/>
          <w:szCs w:val="24"/>
        </w:rPr>
        <w:t xml:space="preserve">i informatike </w:t>
      </w:r>
      <w:r w:rsidRPr="008353EA">
        <w:rPr>
          <w:rFonts w:ascii="Times New Roman" w:hAnsi="Times New Roman" w:cs="Times New Roman"/>
          <w:sz w:val="24"/>
          <w:szCs w:val="24"/>
        </w:rPr>
        <w:t>je dobio kroz izračun limita za cijelo Sveučilište Josipa Jurja Strossmayera u Osijeku.</w:t>
      </w:r>
      <w:r w:rsidR="0020364E" w:rsidRPr="008353EA">
        <w:rPr>
          <w:rFonts w:ascii="Times New Roman" w:hAnsi="Times New Roman" w:cs="Times New Roman"/>
          <w:sz w:val="24"/>
          <w:szCs w:val="24"/>
        </w:rPr>
        <w:t xml:space="preserve"> </w:t>
      </w:r>
      <w:r w:rsidR="00946F3D">
        <w:rPr>
          <w:rFonts w:ascii="Times New Roman" w:hAnsi="Times New Roman" w:cs="Times New Roman"/>
          <w:sz w:val="24"/>
          <w:szCs w:val="24"/>
        </w:rPr>
        <w:t>Sredstvima programskih ugovora izvršeno je financiranje materijalnih troškova Fakulteta, tekuće i investicijsko održavanje i nabava opreme za učionice i znanstveno istraživači rad,financiranje vanjske suradnje, pokrivanje troškova gostovanja stranih istraživača na Fakultetu.</w:t>
      </w:r>
    </w:p>
    <w:p w:rsidR="00946F3D" w:rsidRDefault="00946F3D" w:rsidP="0090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3D" w:rsidRDefault="00946F3D" w:rsidP="0090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3D" w:rsidRPr="008353EA" w:rsidRDefault="00946F3D" w:rsidP="0090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E7" w:rsidRPr="008353EA" w:rsidRDefault="00731EE7" w:rsidP="00731EE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 xml:space="preserve">A621038 Programi vježbaonica visokih učilišta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36"/>
        <w:gridCol w:w="2028"/>
        <w:gridCol w:w="1719"/>
        <w:gridCol w:w="1811"/>
        <w:gridCol w:w="1715"/>
      </w:tblGrid>
      <w:tr w:rsidR="00A43A5D" w:rsidRPr="008353EA" w:rsidTr="00A43A5D">
        <w:trPr>
          <w:trHeight w:val="554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5D" w:rsidRPr="008353EA" w:rsidRDefault="00A43A5D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811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715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Indeks  3/2*100</w:t>
            </w:r>
          </w:p>
        </w:tc>
      </w:tr>
      <w:tr w:rsidR="00A43A5D" w:rsidRPr="008353EA" w:rsidTr="00A43A5D">
        <w:trPr>
          <w:trHeight w:val="554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43A5D" w:rsidRPr="008353EA" w:rsidTr="00A43A5D">
        <w:trPr>
          <w:trHeight w:val="1261"/>
        </w:trPr>
        <w:tc>
          <w:tcPr>
            <w:tcW w:w="1936" w:type="dxa"/>
          </w:tcPr>
          <w:p w:rsidR="00A43A5D" w:rsidRPr="008353EA" w:rsidRDefault="00A43A5D" w:rsidP="000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A621038</w:t>
            </w:r>
          </w:p>
          <w:p w:rsidR="00A43A5D" w:rsidRPr="008353EA" w:rsidRDefault="00A43A5D" w:rsidP="000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Programi vježbaonica visokih učilišta</w:t>
            </w:r>
          </w:p>
        </w:tc>
        <w:tc>
          <w:tcPr>
            <w:tcW w:w="2028" w:type="dxa"/>
            <w:shd w:val="clear" w:color="auto" w:fill="auto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</w:t>
            </w:r>
          </w:p>
        </w:tc>
        <w:tc>
          <w:tcPr>
            <w:tcW w:w="1811" w:type="dxa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1.345,51</w:t>
            </w:r>
          </w:p>
        </w:tc>
        <w:tc>
          <w:tcPr>
            <w:tcW w:w="1715" w:type="dxa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1EE7" w:rsidRPr="008353EA" w:rsidRDefault="00731EE7" w:rsidP="00731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37A" w:rsidRPr="008353EA" w:rsidRDefault="0019737A" w:rsidP="00731E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622"/>
        <w:gridCol w:w="1421"/>
        <w:gridCol w:w="1422"/>
        <w:gridCol w:w="1660"/>
        <w:gridCol w:w="1262"/>
      </w:tblGrid>
      <w:tr w:rsidR="00A43A5D" w:rsidRPr="008353EA" w:rsidTr="00A43A5D">
        <w:trPr>
          <w:trHeight w:val="816"/>
        </w:trPr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421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422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A43A5D" w:rsidRPr="008353EA" w:rsidRDefault="001F7F49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3A5D" w:rsidRPr="008353EA">
              <w:rPr>
                <w:rFonts w:ascii="Times New Roman" w:hAnsi="Times New Roman" w:cs="Times New Roman"/>
                <w:sz w:val="24"/>
                <w:szCs w:val="24"/>
              </w:rPr>
              <w:t>rijednost za 202</w:t>
            </w:r>
            <w:r w:rsidR="00A4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A5D" w:rsidRPr="0083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A5D" w:rsidRPr="008353EA" w:rsidTr="00A43A5D">
        <w:trPr>
          <w:trHeight w:val="2168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Isplaćena sredstva za vježbaonice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 xml:space="preserve">Sredstva za rad vježbaonica isplaćuju se po izvješćima o radu mentora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Broj izvješća mentora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43A5D" w:rsidRPr="008353EA" w:rsidRDefault="003048AC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 xml:space="preserve">Ministarstvo i Sveučilište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5D" w:rsidRPr="008353EA" w:rsidRDefault="00A43A5D" w:rsidP="000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31EE7" w:rsidRPr="008353EA" w:rsidRDefault="00731EE7" w:rsidP="00731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Pr="008353EA" w:rsidRDefault="00D71D69" w:rsidP="0090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A4D" w:rsidRPr="008353EA" w:rsidRDefault="00D52A4D" w:rsidP="00D52A4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>A679090 Redovna djelatnost Sveučilišta u Osijeku (iz evidencijskih prihoda)</w:t>
      </w:r>
    </w:p>
    <w:p w:rsidR="00750074" w:rsidRPr="008353EA" w:rsidRDefault="00750074" w:rsidP="00750074">
      <w:pPr>
        <w:pStyle w:val="NormalWeb"/>
        <w:spacing w:before="0" w:beforeAutospacing="0" w:after="0" w:afterAutospacing="0" w:line="276" w:lineRule="auto"/>
        <w:jc w:val="both"/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980"/>
        <w:gridCol w:w="1925"/>
        <w:gridCol w:w="1760"/>
        <w:gridCol w:w="1717"/>
        <w:gridCol w:w="1689"/>
      </w:tblGrid>
      <w:tr w:rsidR="008A0A5C" w:rsidRPr="008353EA" w:rsidTr="00286965">
        <w:trPr>
          <w:trHeight w:val="56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C" w:rsidRPr="008353EA" w:rsidRDefault="008A0A5C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Indeks  3/2*100</w:t>
            </w:r>
          </w:p>
        </w:tc>
      </w:tr>
      <w:tr w:rsidR="008A0A5C" w:rsidRPr="008353EA" w:rsidTr="00286965">
        <w:trPr>
          <w:trHeight w:val="56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 w:rsidR="008A0A5C" w:rsidRPr="008353EA" w:rsidRDefault="008A0A5C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86965" w:rsidRPr="008353EA" w:rsidTr="00286965">
        <w:trPr>
          <w:trHeight w:val="1921"/>
        </w:trPr>
        <w:tc>
          <w:tcPr>
            <w:tcW w:w="1980" w:type="dxa"/>
          </w:tcPr>
          <w:p w:rsidR="00695D57" w:rsidRPr="008353EA" w:rsidRDefault="00695D57" w:rsidP="000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A679090</w:t>
            </w:r>
          </w:p>
          <w:p w:rsidR="00695D57" w:rsidRPr="008353EA" w:rsidRDefault="00695D57" w:rsidP="000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Redovna djelatnost Sveučilišta u Osijeku (iz evidencijskih prihoda)</w:t>
            </w:r>
          </w:p>
        </w:tc>
        <w:tc>
          <w:tcPr>
            <w:tcW w:w="1925" w:type="dxa"/>
            <w:shd w:val="clear" w:color="auto" w:fill="auto"/>
          </w:tcPr>
          <w:p w:rsidR="00695D57" w:rsidRPr="008353EA" w:rsidRDefault="00695D57" w:rsidP="0008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86965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57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145.799,00</w:t>
            </w:r>
          </w:p>
          <w:p w:rsidR="00286965" w:rsidRPr="008353EA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86965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57" w:rsidRPr="008353EA" w:rsidRDefault="00286965" w:rsidP="002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169.606,40</w:t>
            </w:r>
          </w:p>
        </w:tc>
        <w:tc>
          <w:tcPr>
            <w:tcW w:w="1689" w:type="dxa"/>
          </w:tcPr>
          <w:p w:rsidR="00695D57" w:rsidRPr="008353EA" w:rsidRDefault="00695D57" w:rsidP="00B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57" w:rsidRPr="008353EA" w:rsidRDefault="00695D57" w:rsidP="00B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57" w:rsidRPr="008353EA" w:rsidRDefault="00286965" w:rsidP="00B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D52A4D" w:rsidRPr="008353EA" w:rsidRDefault="00D52A4D" w:rsidP="00D52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49" w:rsidRDefault="001F7F49" w:rsidP="00D52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F49">
        <w:rPr>
          <w:rFonts w:ascii="Times New Roman" w:hAnsi="Times New Roman" w:cs="Times New Roman"/>
          <w:sz w:val="24"/>
          <w:szCs w:val="24"/>
        </w:rPr>
        <w:t>Ova aktivnost sastoji se od sljedećih podativnosti raspoređenih sukladno izvorima iz kojih se financiraju</w:t>
      </w:r>
      <w:r>
        <w:rPr>
          <w:rFonts w:ascii="Times New Roman" w:hAnsi="Times New Roman" w:cs="Times New Roman"/>
          <w:sz w:val="24"/>
          <w:szCs w:val="24"/>
        </w:rPr>
        <w:t xml:space="preserve">, osnovne djelatnosti-participaciji školarina, programa znanstveno-istraživačke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djelatnosti, </w:t>
      </w:r>
      <w:r w:rsidR="00303E27">
        <w:rPr>
          <w:rFonts w:ascii="Times New Roman" w:hAnsi="Times New Roman" w:cs="Times New Roman"/>
          <w:sz w:val="24"/>
          <w:szCs w:val="24"/>
        </w:rPr>
        <w:t>projekt Hrvatske zaklade za znanost, izdavanje znanstvenih i stručnih časopisa, organiziranje i održavanje skupova i ostalih nespomenutih aktivnosti.</w:t>
      </w:r>
    </w:p>
    <w:p w:rsidR="009429B3" w:rsidRPr="009429B3" w:rsidRDefault="009429B3" w:rsidP="0094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 xml:space="preserve">Na izvoru 31 (vlastiti prihodi) planirani su rashodi u iznosu 31.692 eura, a izvršenje je iznosilo 40.916,65 eura. Povećanje rashoda nastalo je radi organizacije kampa OCPC-a koji priprema studente za ICPC i slična natjecanja iz programiranja. </w:t>
      </w:r>
    </w:p>
    <w:p w:rsidR="009429B3" w:rsidRPr="009429B3" w:rsidRDefault="009429B3" w:rsidP="0094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U 2023.godini izvršeni su sredstva iz izvora 43 u iznosu 82.775,72 eura. Iz izvora 43 pokriveni su ostali rashodi za zaposlene, službena, putovanja, uredski materijal, režijskih troškova, najamnina, računalnih usluga i ostalih usluga.</w:t>
      </w:r>
    </w:p>
    <w:p w:rsidR="009429B3" w:rsidRPr="009429B3" w:rsidRDefault="009429B3" w:rsidP="0094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Na izvoru 51 utrošena su preostala sredstva iz projekta  Real-time measurements and forecasting for successful prevention and management of seasonal allergies in Croatia-Serbia crossborder region (Interreg IPA-CBC).</w:t>
      </w:r>
    </w:p>
    <w:p w:rsidR="00303E27" w:rsidRPr="001F7F49" w:rsidRDefault="009429B3" w:rsidP="0094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Na izvoru 52 (ostale pomoći) rashodi su već za 23,4% u odnosu na plan zbog realizacije uspostave projekta „Regionalnog znanstvenog centra Panonske Hrvatske“, rashoda financiranih na projektu Hrvatske zaklade za znanost, projekta GAMMA u okviru ERAMUS + programa i aktivnosti koje financira Ministarstvo znanosti i obrazaovanja.</w:t>
      </w:r>
    </w:p>
    <w:p w:rsidR="00A66837" w:rsidRPr="008353EA" w:rsidRDefault="00A66837" w:rsidP="00A66837">
      <w:pPr>
        <w:spacing w:after="150" w:line="267" w:lineRule="auto"/>
        <w:ind w:left="398" w:right="225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6C583E" w:rsidRPr="008353EA" w:rsidRDefault="003930C4" w:rsidP="006C583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A">
        <w:rPr>
          <w:rFonts w:ascii="Times New Roman" w:hAnsi="Times New Roman" w:cs="Times New Roman"/>
          <w:b/>
          <w:sz w:val="24"/>
          <w:szCs w:val="24"/>
        </w:rPr>
        <w:t xml:space="preserve">A679071 EU </w:t>
      </w:r>
      <w:r w:rsidR="001274BF" w:rsidRPr="008353EA">
        <w:rPr>
          <w:rFonts w:ascii="Times New Roman" w:hAnsi="Times New Roman" w:cs="Times New Roman"/>
          <w:b/>
          <w:sz w:val="24"/>
          <w:szCs w:val="24"/>
        </w:rPr>
        <w:t>projekti Sveučilišta u Osijeku</w:t>
      </w:r>
      <w:r w:rsidRPr="00835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F49" w:rsidRDefault="001F7F49" w:rsidP="0039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aktivnost sastoji se troškova EU podprojekta </w:t>
      </w:r>
      <w:r w:rsidRPr="001F7F49">
        <w:rPr>
          <w:rFonts w:ascii="Times New Roman" w:hAnsi="Times New Roman" w:cs="Times New Roman"/>
          <w:sz w:val="24"/>
          <w:szCs w:val="24"/>
        </w:rPr>
        <w:t>Erasmus+ projekt GAMMA (GAMe based learning in MAthematics)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65" w:rsidRDefault="000C3E9E" w:rsidP="003930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353EA">
        <w:rPr>
          <w:rFonts w:ascii="Times New Roman" w:hAnsi="Times New Roman" w:cs="Times New Roman"/>
          <w:sz w:val="24"/>
          <w:szCs w:val="24"/>
        </w:rPr>
        <w:t xml:space="preserve">EU projekt je započeo sa aktivnostima 2020. godine , te je vrijeme trajanja projekata produžena zbog pandemije bolesti COVID-19 i nemogućnosti provedbe projektnih aktivnosti u prvotnom ugovorenom vremenu trajanja, tako da se Projekt </w:t>
      </w:r>
      <w:r w:rsidR="001F7F49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8353EA">
        <w:rPr>
          <w:rFonts w:ascii="Times New Roman" w:hAnsi="Times New Roman" w:cs="Times New Roman"/>
          <w:sz w:val="24"/>
          <w:szCs w:val="24"/>
        </w:rPr>
        <w:t>realizira</w:t>
      </w:r>
      <w:r w:rsidR="001F7F49">
        <w:rPr>
          <w:rFonts w:ascii="Times New Roman" w:hAnsi="Times New Roman" w:cs="Times New Roman"/>
          <w:sz w:val="24"/>
          <w:szCs w:val="24"/>
        </w:rPr>
        <w:t>le</w:t>
      </w:r>
      <w:r w:rsidRPr="008353EA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="001F7F4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286965" w:rsidRPr="008353EA" w:rsidRDefault="00286965" w:rsidP="003930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2478"/>
        <w:gridCol w:w="1719"/>
        <w:gridCol w:w="1691"/>
        <w:gridCol w:w="1691"/>
        <w:gridCol w:w="1579"/>
      </w:tblGrid>
      <w:tr w:rsidR="00286965" w:rsidRPr="008353EA" w:rsidTr="00286965">
        <w:trPr>
          <w:trHeight w:val="568"/>
        </w:trPr>
        <w:tc>
          <w:tcPr>
            <w:tcW w:w="2478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Pr="008353EA" w:rsidRDefault="00286965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579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Indeks  3/2*100</w:t>
            </w:r>
          </w:p>
        </w:tc>
      </w:tr>
      <w:tr w:rsidR="00286965" w:rsidRPr="008353EA" w:rsidTr="00286965">
        <w:trPr>
          <w:trHeight w:val="568"/>
        </w:trPr>
        <w:tc>
          <w:tcPr>
            <w:tcW w:w="2478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9" w:type="dxa"/>
            <w:shd w:val="clear" w:color="auto" w:fill="D0CECE" w:themeFill="background2" w:themeFillShade="E6"/>
            <w:vAlign w:val="center"/>
          </w:tcPr>
          <w:p w:rsidR="00286965" w:rsidRPr="008353EA" w:rsidRDefault="00286965" w:rsidP="0051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86965" w:rsidRPr="008353EA" w:rsidTr="00286965">
        <w:trPr>
          <w:trHeight w:val="1229"/>
        </w:trPr>
        <w:tc>
          <w:tcPr>
            <w:tcW w:w="2478" w:type="dxa"/>
          </w:tcPr>
          <w:p w:rsidR="00286965" w:rsidRPr="008353EA" w:rsidRDefault="00286965" w:rsidP="00C1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Pr="008353EA" w:rsidRDefault="00286965" w:rsidP="00C1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A">
              <w:rPr>
                <w:rFonts w:ascii="Times New Roman" w:hAnsi="Times New Roman" w:cs="Times New Roman"/>
                <w:sz w:val="24"/>
                <w:szCs w:val="24"/>
              </w:rPr>
              <w:t>A679071 EU projekti Sveučilišta u Osijeku</w:t>
            </w:r>
          </w:p>
        </w:tc>
        <w:tc>
          <w:tcPr>
            <w:tcW w:w="1719" w:type="dxa"/>
            <w:shd w:val="clear" w:color="auto" w:fill="auto"/>
          </w:tcPr>
          <w:p w:rsidR="00286965" w:rsidRPr="008353EA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6965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Pr="008353EA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10.985</w:t>
            </w:r>
          </w:p>
        </w:tc>
        <w:tc>
          <w:tcPr>
            <w:tcW w:w="1691" w:type="dxa"/>
          </w:tcPr>
          <w:p w:rsidR="00286965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8.721,46</w:t>
            </w:r>
          </w:p>
          <w:p w:rsidR="00286965" w:rsidRPr="008353EA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86965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65" w:rsidRPr="008353EA" w:rsidRDefault="00286965" w:rsidP="00C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1F7F49" w:rsidRDefault="001F7F49" w:rsidP="006976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49" w:rsidRDefault="001F7F49" w:rsidP="006976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82" w:rsidRPr="008353EA" w:rsidRDefault="002E7F82" w:rsidP="00ED60E9">
      <w:pPr>
        <w:rPr>
          <w:rFonts w:ascii="Times New Roman" w:hAnsi="Times New Roman" w:cs="Times New Roman"/>
          <w:sz w:val="24"/>
          <w:szCs w:val="24"/>
        </w:rPr>
      </w:pPr>
    </w:p>
    <w:sectPr w:rsidR="002E7F82" w:rsidRPr="008353EA" w:rsidSect="002E7F8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4A" w:rsidRDefault="00E60A4A">
      <w:pPr>
        <w:spacing w:after="0" w:line="240" w:lineRule="auto"/>
      </w:pPr>
      <w:r>
        <w:separator/>
      </w:r>
    </w:p>
  </w:endnote>
  <w:endnote w:type="continuationSeparator" w:id="0">
    <w:p w:rsidR="00E60A4A" w:rsidRDefault="00E6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083437" w:rsidRDefault="000834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83437" w:rsidRDefault="0008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4A" w:rsidRDefault="00E60A4A">
      <w:pPr>
        <w:spacing w:after="0" w:line="240" w:lineRule="auto"/>
      </w:pPr>
      <w:r>
        <w:separator/>
      </w:r>
    </w:p>
  </w:footnote>
  <w:footnote w:type="continuationSeparator" w:id="0">
    <w:p w:rsidR="00E60A4A" w:rsidRDefault="00E6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1B"/>
    <w:multiLevelType w:val="hybridMultilevel"/>
    <w:tmpl w:val="2B2EFFFA"/>
    <w:lvl w:ilvl="0" w:tplc="72BC165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27B6"/>
    <w:multiLevelType w:val="hybridMultilevel"/>
    <w:tmpl w:val="5BA65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466"/>
    <w:multiLevelType w:val="hybridMultilevel"/>
    <w:tmpl w:val="9268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3DB3"/>
    <w:multiLevelType w:val="hybridMultilevel"/>
    <w:tmpl w:val="5C663AAC"/>
    <w:lvl w:ilvl="0" w:tplc="676861CC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2CC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74A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628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4F68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48C5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EB02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8BFD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217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80C"/>
    <w:multiLevelType w:val="hybridMultilevel"/>
    <w:tmpl w:val="17C2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3DEA"/>
    <w:multiLevelType w:val="hybridMultilevel"/>
    <w:tmpl w:val="31A00D92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905"/>
    <w:multiLevelType w:val="hybridMultilevel"/>
    <w:tmpl w:val="8C761B36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5CF"/>
    <w:multiLevelType w:val="hybridMultilevel"/>
    <w:tmpl w:val="1FB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33B0"/>
    <w:multiLevelType w:val="multilevel"/>
    <w:tmpl w:val="43253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990"/>
    <w:multiLevelType w:val="hybridMultilevel"/>
    <w:tmpl w:val="C5C47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F576A"/>
    <w:multiLevelType w:val="hybridMultilevel"/>
    <w:tmpl w:val="A304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1786"/>
    <w:multiLevelType w:val="hybridMultilevel"/>
    <w:tmpl w:val="63229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3A8B"/>
    <w:multiLevelType w:val="hybridMultilevel"/>
    <w:tmpl w:val="48820A1E"/>
    <w:lvl w:ilvl="0" w:tplc="5A98144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64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D18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C687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BEA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3B2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C0B2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EF0B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ECE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06E"/>
    <w:multiLevelType w:val="hybridMultilevel"/>
    <w:tmpl w:val="1C9E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3B26"/>
    <w:multiLevelType w:val="hybridMultilevel"/>
    <w:tmpl w:val="D1D8F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B556A"/>
    <w:multiLevelType w:val="hybridMultilevel"/>
    <w:tmpl w:val="1280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D8C"/>
    <w:multiLevelType w:val="multilevel"/>
    <w:tmpl w:val="27AC7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4" w15:restartNumberingAfterBreak="0">
    <w:nsid w:val="780B1671"/>
    <w:multiLevelType w:val="hybridMultilevel"/>
    <w:tmpl w:val="6144EC68"/>
    <w:lvl w:ilvl="0" w:tplc="FEF476FA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106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43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038C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92D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5D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6CBB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E723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AC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737570"/>
    <w:multiLevelType w:val="hybridMultilevel"/>
    <w:tmpl w:val="5848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23"/>
  </w:num>
  <w:num w:numId="10">
    <w:abstractNumId w:val="9"/>
  </w:num>
  <w:num w:numId="11">
    <w:abstractNumId w:val="7"/>
  </w:num>
  <w:num w:numId="12">
    <w:abstractNumId w:val="26"/>
  </w:num>
  <w:num w:numId="13">
    <w:abstractNumId w:val="6"/>
  </w:num>
  <w:num w:numId="14">
    <w:abstractNumId w:val="18"/>
  </w:num>
  <w:num w:numId="15">
    <w:abstractNumId w:val="24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8"/>
  </w:num>
  <w:num w:numId="21">
    <w:abstractNumId w:val="25"/>
  </w:num>
  <w:num w:numId="22">
    <w:abstractNumId w:val="12"/>
  </w:num>
  <w:num w:numId="23">
    <w:abstractNumId w:val="0"/>
  </w:num>
  <w:num w:numId="24">
    <w:abstractNumId w:val="13"/>
  </w:num>
  <w:num w:numId="25">
    <w:abstractNumId w:val="2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56274"/>
    <w:rsid w:val="00083437"/>
    <w:rsid w:val="000A70C7"/>
    <w:rsid w:val="000C3E9E"/>
    <w:rsid w:val="001017E7"/>
    <w:rsid w:val="00126A20"/>
    <w:rsid w:val="001272F1"/>
    <w:rsid w:val="001274BF"/>
    <w:rsid w:val="001425E5"/>
    <w:rsid w:val="00157F7C"/>
    <w:rsid w:val="0019737A"/>
    <w:rsid w:val="001A0C62"/>
    <w:rsid w:val="001B0F68"/>
    <w:rsid w:val="001B0F7A"/>
    <w:rsid w:val="001B3688"/>
    <w:rsid w:val="001B62BD"/>
    <w:rsid w:val="001F7F49"/>
    <w:rsid w:val="0020364E"/>
    <w:rsid w:val="00220BF7"/>
    <w:rsid w:val="00227D81"/>
    <w:rsid w:val="00286965"/>
    <w:rsid w:val="00291616"/>
    <w:rsid w:val="002A16E3"/>
    <w:rsid w:val="002A5D35"/>
    <w:rsid w:val="002A77A9"/>
    <w:rsid w:val="002C21E6"/>
    <w:rsid w:val="002C7121"/>
    <w:rsid w:val="002D444E"/>
    <w:rsid w:val="002E0923"/>
    <w:rsid w:val="002E595B"/>
    <w:rsid w:val="002E7F82"/>
    <w:rsid w:val="00302976"/>
    <w:rsid w:val="00303E27"/>
    <w:rsid w:val="003048AC"/>
    <w:rsid w:val="00322271"/>
    <w:rsid w:val="003239CD"/>
    <w:rsid w:val="00324025"/>
    <w:rsid w:val="00325750"/>
    <w:rsid w:val="00330749"/>
    <w:rsid w:val="0035060A"/>
    <w:rsid w:val="003930C4"/>
    <w:rsid w:val="003B0946"/>
    <w:rsid w:val="003B2CF0"/>
    <w:rsid w:val="003E48A0"/>
    <w:rsid w:val="003E7DBE"/>
    <w:rsid w:val="004007B5"/>
    <w:rsid w:val="0040439F"/>
    <w:rsid w:val="0043063E"/>
    <w:rsid w:val="0043652F"/>
    <w:rsid w:val="00444B9D"/>
    <w:rsid w:val="00474EAA"/>
    <w:rsid w:val="0048784E"/>
    <w:rsid w:val="004B6112"/>
    <w:rsid w:val="004C3A59"/>
    <w:rsid w:val="004D56DE"/>
    <w:rsid w:val="004E02C5"/>
    <w:rsid w:val="004F3B52"/>
    <w:rsid w:val="00507497"/>
    <w:rsid w:val="00531443"/>
    <w:rsid w:val="00545366"/>
    <w:rsid w:val="00575C9B"/>
    <w:rsid w:val="00585281"/>
    <w:rsid w:val="00586346"/>
    <w:rsid w:val="006044E6"/>
    <w:rsid w:val="0064084E"/>
    <w:rsid w:val="00680C23"/>
    <w:rsid w:val="00683154"/>
    <w:rsid w:val="00695D57"/>
    <w:rsid w:val="006976EA"/>
    <w:rsid w:val="006C583E"/>
    <w:rsid w:val="00703212"/>
    <w:rsid w:val="0071577D"/>
    <w:rsid w:val="00731EE7"/>
    <w:rsid w:val="00746A63"/>
    <w:rsid w:val="00750074"/>
    <w:rsid w:val="00775D04"/>
    <w:rsid w:val="00781416"/>
    <w:rsid w:val="00783BF1"/>
    <w:rsid w:val="007B33DC"/>
    <w:rsid w:val="007F547C"/>
    <w:rsid w:val="008223B8"/>
    <w:rsid w:val="008353EA"/>
    <w:rsid w:val="00846E65"/>
    <w:rsid w:val="00855500"/>
    <w:rsid w:val="008750BD"/>
    <w:rsid w:val="008A0A5C"/>
    <w:rsid w:val="008A2AD4"/>
    <w:rsid w:val="008E2C16"/>
    <w:rsid w:val="008F0AD8"/>
    <w:rsid w:val="009017B5"/>
    <w:rsid w:val="00915565"/>
    <w:rsid w:val="00936EB3"/>
    <w:rsid w:val="009429B3"/>
    <w:rsid w:val="00946F3D"/>
    <w:rsid w:val="0094760A"/>
    <w:rsid w:val="009668D8"/>
    <w:rsid w:val="009735C7"/>
    <w:rsid w:val="009965FD"/>
    <w:rsid w:val="009A65A8"/>
    <w:rsid w:val="009D004A"/>
    <w:rsid w:val="009E1B17"/>
    <w:rsid w:val="009E2203"/>
    <w:rsid w:val="009F236F"/>
    <w:rsid w:val="00A24AC5"/>
    <w:rsid w:val="00A43A5D"/>
    <w:rsid w:val="00A44829"/>
    <w:rsid w:val="00A46CB2"/>
    <w:rsid w:val="00A472FA"/>
    <w:rsid w:val="00A66632"/>
    <w:rsid w:val="00A66837"/>
    <w:rsid w:val="00A81855"/>
    <w:rsid w:val="00AB014D"/>
    <w:rsid w:val="00AD4E6F"/>
    <w:rsid w:val="00AF6736"/>
    <w:rsid w:val="00B403B9"/>
    <w:rsid w:val="00B45CB1"/>
    <w:rsid w:val="00B73307"/>
    <w:rsid w:val="00B7598C"/>
    <w:rsid w:val="00B80201"/>
    <w:rsid w:val="00B8300C"/>
    <w:rsid w:val="00BA7406"/>
    <w:rsid w:val="00BB47B9"/>
    <w:rsid w:val="00BB531E"/>
    <w:rsid w:val="00BD7FDD"/>
    <w:rsid w:val="00BE741E"/>
    <w:rsid w:val="00C223C7"/>
    <w:rsid w:val="00C27763"/>
    <w:rsid w:val="00C41919"/>
    <w:rsid w:val="00C627CC"/>
    <w:rsid w:val="00C81139"/>
    <w:rsid w:val="00C84559"/>
    <w:rsid w:val="00CB764D"/>
    <w:rsid w:val="00CD5A03"/>
    <w:rsid w:val="00D03AFD"/>
    <w:rsid w:val="00D375DC"/>
    <w:rsid w:val="00D46DEF"/>
    <w:rsid w:val="00D52A4D"/>
    <w:rsid w:val="00D5408D"/>
    <w:rsid w:val="00D71D69"/>
    <w:rsid w:val="00D95738"/>
    <w:rsid w:val="00DA4757"/>
    <w:rsid w:val="00DA4E9B"/>
    <w:rsid w:val="00DA7AFE"/>
    <w:rsid w:val="00DC3FEB"/>
    <w:rsid w:val="00DC43DC"/>
    <w:rsid w:val="00DC700C"/>
    <w:rsid w:val="00E16FD6"/>
    <w:rsid w:val="00E179DA"/>
    <w:rsid w:val="00E5786B"/>
    <w:rsid w:val="00E60A4A"/>
    <w:rsid w:val="00E63E32"/>
    <w:rsid w:val="00E8525D"/>
    <w:rsid w:val="00E927E0"/>
    <w:rsid w:val="00E943A6"/>
    <w:rsid w:val="00EC511B"/>
    <w:rsid w:val="00ED60E9"/>
    <w:rsid w:val="00EF05CF"/>
    <w:rsid w:val="00EF0A99"/>
    <w:rsid w:val="00EF0ED2"/>
    <w:rsid w:val="00F020B2"/>
    <w:rsid w:val="00F12286"/>
    <w:rsid w:val="00F815A6"/>
    <w:rsid w:val="00FD6A06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paragraph" w:styleId="Heading1">
    <w:name w:val="heading 1"/>
    <w:basedOn w:val="Normal"/>
    <w:next w:val="Normal"/>
    <w:link w:val="Heading1Char"/>
    <w:uiPriority w:val="9"/>
    <w:qFormat/>
    <w:rsid w:val="00BA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0">
    <w:name w:val="TableGrid"/>
    <w:rsid w:val="00B45CB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63E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D52A4D"/>
  </w:style>
  <w:style w:type="character" w:customStyle="1" w:styleId="Heading1Char">
    <w:name w:val="Heading 1 Char"/>
    <w:basedOn w:val="DefaultParagraphFont"/>
    <w:link w:val="Heading1"/>
    <w:uiPriority w:val="9"/>
    <w:rsid w:val="00BA7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668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Varnica</cp:lastModifiedBy>
  <cp:revision>4</cp:revision>
  <cp:lastPrinted>2024-03-26T12:47:00Z</cp:lastPrinted>
  <dcterms:created xsi:type="dcterms:W3CDTF">2024-03-20T12:07:00Z</dcterms:created>
  <dcterms:modified xsi:type="dcterms:W3CDTF">2024-03-26T13:18:00Z</dcterms:modified>
</cp:coreProperties>
</file>